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6F" w:rsidRPr="00292861" w:rsidRDefault="00A4066F" w:rsidP="00A4066F">
      <w:pPr>
        <w:ind w:right="990"/>
        <w:rPr>
          <w:b/>
          <w:bCs/>
        </w:rPr>
      </w:pPr>
      <w:r w:rsidRPr="00292861">
        <w:rPr>
          <w:u w:val="single"/>
        </w:rPr>
        <w:t>VGH Kassel</w:t>
      </w:r>
    </w:p>
    <w:p w:rsidR="00A4066F" w:rsidRPr="00292861" w:rsidRDefault="00A4066F" w:rsidP="00A4066F">
      <w:pPr>
        <w:ind w:right="990"/>
        <w:rPr>
          <w:b/>
          <w:bCs/>
        </w:rPr>
      </w:pPr>
      <w:r w:rsidRPr="00292861">
        <w:rPr>
          <w:u w:val="single"/>
        </w:rPr>
        <w:t>Prüfungskompetenz des Vorsitzenden der Gemeindevertretung</w:t>
      </w:r>
    </w:p>
    <w:p w:rsidR="00A4066F" w:rsidRPr="00292861" w:rsidRDefault="00A4066F" w:rsidP="00A4066F">
      <w:pPr>
        <w:ind w:right="990"/>
        <w:rPr>
          <w:b/>
          <w:bCs/>
        </w:rPr>
      </w:pPr>
      <w:r w:rsidRPr="00292861">
        <w:rPr>
          <w:u w:val="single"/>
        </w:rPr>
        <w:t>Entscheidungsbefugnis der Gemeindevertretung</w:t>
      </w:r>
    </w:p>
    <w:p w:rsidR="00A4066F" w:rsidRPr="00292861" w:rsidRDefault="00A4066F" w:rsidP="00A4066F">
      <w:pPr>
        <w:ind w:right="990"/>
        <w:rPr>
          <w:b/>
          <w:bCs/>
        </w:rPr>
      </w:pPr>
      <w:r w:rsidRPr="00292861">
        <w:rPr>
          <w:u w:val="single"/>
        </w:rPr>
        <w:t>über die Geschäftspolitik der gemeindlichen Gesellschaften</w:t>
      </w:r>
    </w:p>
    <w:p w:rsidR="00A4066F" w:rsidRPr="00292861" w:rsidRDefault="00A4066F" w:rsidP="00A4066F">
      <w:pPr>
        <w:ind w:right="990"/>
        <w:rPr>
          <w:b/>
          <w:bCs/>
        </w:rPr>
      </w:pPr>
      <w:r w:rsidRPr="00292861">
        <w:rPr>
          <w:u w:val="single"/>
        </w:rPr>
        <w:t>Pflicht des Gemeindevorstandes, eine vorrangige Entscheidung der</w:t>
      </w:r>
    </w:p>
    <w:p w:rsidR="00A4066F" w:rsidRPr="00A4066F" w:rsidRDefault="00A4066F" w:rsidP="00A4066F">
      <w:pPr>
        <w:ind w:right="990"/>
        <w:rPr>
          <w:b/>
          <w:bCs/>
          <w:u w:val="single"/>
        </w:rPr>
      </w:pPr>
      <w:r w:rsidRPr="00292861">
        <w:rPr>
          <w:u w:val="single"/>
        </w:rPr>
        <w:t xml:space="preserve">Gemeindevertretung einzuholen und diese durch </w:t>
      </w:r>
      <w:r w:rsidRPr="00A4066F">
        <w:rPr>
          <w:u w:val="single"/>
        </w:rPr>
        <w:t>Weisung</w:t>
      </w:r>
      <w:r w:rsidRPr="00A4066F">
        <w:rPr>
          <w:b/>
          <w:bCs/>
          <w:u w:val="single"/>
        </w:rPr>
        <w:t xml:space="preserve"> </w:t>
      </w:r>
      <w:r w:rsidRPr="00A4066F">
        <w:rPr>
          <w:bCs/>
          <w:u w:val="single"/>
        </w:rPr>
        <w:t>GEMÄß</w:t>
      </w:r>
    </w:p>
    <w:p w:rsidR="00A4066F" w:rsidRPr="00A4066F" w:rsidRDefault="00A4066F" w:rsidP="00A4066F">
      <w:pPr>
        <w:ind w:right="990"/>
        <w:rPr>
          <w:b/>
          <w:bCs/>
          <w:u w:val="single"/>
        </w:rPr>
      </w:pPr>
      <w:r w:rsidRPr="00A4066F">
        <w:rPr>
          <w:u w:val="single"/>
        </w:rPr>
        <w:t>§125 Abs. 1 Satz 4 HGO im</w:t>
      </w:r>
      <w:r w:rsidRPr="00A4066F">
        <w:rPr>
          <w:b/>
          <w:bCs/>
          <w:u w:val="single"/>
        </w:rPr>
        <w:t xml:space="preserve"> </w:t>
      </w:r>
      <w:r w:rsidRPr="00A4066F">
        <w:rPr>
          <w:bCs/>
          <w:u w:val="single"/>
        </w:rPr>
        <w:t xml:space="preserve">AUßENVERHÄLTNIS </w:t>
      </w:r>
      <w:r w:rsidRPr="00A4066F">
        <w:rPr>
          <w:u w:val="single"/>
        </w:rPr>
        <w:t>zu den Gesellschaften</w:t>
      </w:r>
    </w:p>
    <w:p w:rsidR="00A4066F" w:rsidRPr="00292861" w:rsidRDefault="00A4066F" w:rsidP="00A4066F">
      <w:pPr>
        <w:ind w:right="990"/>
        <w:rPr>
          <w:b/>
          <w:bCs/>
        </w:rPr>
      </w:pPr>
      <w:r w:rsidRPr="00292861">
        <w:rPr>
          <w:u w:val="single"/>
        </w:rPr>
        <w:t>umzusetzen</w:t>
      </w:r>
    </w:p>
    <w:p w:rsidR="00A4066F" w:rsidRPr="00292861" w:rsidRDefault="00A4066F" w:rsidP="006D4F45">
      <w:pPr>
        <w:numPr>
          <w:ilvl w:val="0"/>
          <w:numId w:val="1"/>
        </w:numPr>
        <w:ind w:right="990"/>
      </w:pPr>
      <w:r w:rsidRPr="00292861">
        <w:t>Es entspricht der Rechtsprechung des Hessischen Verwaltungsge</w:t>
      </w:r>
      <w:r w:rsidRPr="00292861">
        <w:softHyphen/>
        <w:t>richtshofs (vgl. u.a. HessVGH, Beschluss vom 2. Juli 1985 - 2 TG 1174/85 - HSGZ 1987 S. 463 f.), dass der/dem Vorsitzenden der Gemeindevertretung gemäß § 58 Abs. 5 i.V.m. 56 Abs. 1 Satz 2 HGO zwar keine materielle (inhaltliche) Prüfungskompetenz hinsicht</w:t>
      </w:r>
      <w:r w:rsidRPr="00292861">
        <w:softHyphen/>
        <w:t>lich der Rechtmäßigkeit der zur Beratung und Abstimmung gestellten Beschlüsse, wohl aber eine Kompetenz zur Prüfung der Frage zu</w:t>
      </w:r>
      <w:r w:rsidRPr="00292861">
        <w:softHyphen/>
        <w:t>kommt, ob der auf die Tagesordnung zu setzende Beratungsgegen</w:t>
      </w:r>
      <w:r w:rsidRPr="00292861">
        <w:softHyphen/>
        <w:t>stand nicht einem anderen Gemeindeorgan zur originären Zuständig</w:t>
      </w:r>
      <w:r w:rsidRPr="00292861">
        <w:softHyphen/>
        <w:t>keit zugewiesen ist (vgl. auch Bayer. VGH, Urteil vom 10.12.1986 - 4 B 85 A 916 - NVwZ 1988 S. 83 [86] zur Bayerischen Gemeindeord</w:t>
      </w:r>
      <w:r w:rsidRPr="00292861">
        <w:softHyphen/>
        <w:t>nung). Dieses, die Kompetenzverteilung innerhalb der Gemeindever</w:t>
      </w:r>
      <w:r w:rsidRPr="00292861">
        <w:softHyphen/>
        <w:t>waltung wahrende Prüfungsrecht der/des Vorsitzenden der Gemein</w:t>
      </w:r>
      <w:r w:rsidRPr="00292861">
        <w:softHyphen/>
        <w:t>devertretung wollte der Landesgesetzgeber durch Einfügung des § 58 Abs. 5 Satz 3 HGO für "reguläre" Sitzungen der Gemeindevertretung ausweislich der Gesetzesbegründung der Landesregierung nicht ab</w:t>
      </w:r>
      <w:r w:rsidRPr="00292861">
        <w:softHyphen/>
        <w:t>schaffen (vgl. LT-Ds. 13/1397 vom 06.01.1992 S. 29 zu Art. 1 Nr.</w:t>
      </w:r>
      <w:r>
        <w:t>16)</w:t>
      </w:r>
      <w:r w:rsidRPr="00292861">
        <w:t>. Die Gesetzesergänzung sollte nur dazu führen, dass auch Anträ</w:t>
      </w:r>
      <w:r w:rsidRPr="00292861">
        <w:softHyphen/>
        <w:t>ge einzelner Gemeindevertreter zu berücksichtigen sind.</w:t>
      </w:r>
    </w:p>
    <w:p w:rsidR="00A4066F" w:rsidRPr="00A4066F" w:rsidRDefault="00A4066F" w:rsidP="003703F5">
      <w:pPr>
        <w:numPr>
          <w:ilvl w:val="0"/>
          <w:numId w:val="1"/>
        </w:numPr>
        <w:ind w:right="990"/>
        <w:rPr>
          <w:b/>
        </w:rPr>
      </w:pPr>
      <w:r w:rsidRPr="00292861">
        <w:t>Dem Magistrat steht zwar gemäß § 125 Abs. 1 und 2 HGO ein aus</w:t>
      </w:r>
      <w:r w:rsidRPr="00292861">
        <w:softHyphen/>
        <w:t>schließliches Vertretungs-, Weisungs- und Entsendungsrecht in Be</w:t>
      </w:r>
      <w:r w:rsidRPr="00292861">
        <w:softHyphen/>
        <w:t>zug auf Gesellschaften zu, die der Gemeinde gehören oder an denen sie beteiligt ist, so dass nach dieser gegenüber § 66 Abs. 1 Satz 3 Nr. 2 HGO spezielleren und deshalb vorrangigen Regelung nicht die Gemeindevertretung, sondern allein der Gemeindevorstand die Ge</w:t>
      </w:r>
      <w:r w:rsidRPr="00292861">
        <w:softHyphen/>
        <w:t>meinde in der Gesellschaft vertritt bzw. besondere Vertreter bestellt (vgl. HessVGH, Beschluss vom 09.03.1998 - 8 TZ 782/98 - NVwZ-RR 1999 S. 190 f. = juris Rnrn. 4 bis 9). Als ergänzende spezielle Be</w:t>
      </w:r>
      <w:r w:rsidRPr="00292861">
        <w:softHyphen/>
        <w:t>stimmungen zu den allgemeinen Grundsätzen der Außenvertretung</w:t>
      </w:r>
      <w:r>
        <w:t xml:space="preserve"> </w:t>
      </w:r>
      <w:r w:rsidRPr="00292861">
        <w:t xml:space="preserve">der Gemeinde gemäß § 71 HGO beschränkt sich die besondere Kompetenzzuweisung des </w:t>
      </w:r>
      <w:r>
        <w:t xml:space="preserve">        </w:t>
      </w:r>
      <w:r w:rsidRPr="00292861">
        <w:t>§ 125 HGO aber auf die Art und Weise der Außenvertretung der Gemeinde in ihren Eigen- oder Beteiligungsge</w:t>
      </w:r>
      <w:r w:rsidRPr="00292861">
        <w:softHyphen/>
        <w:t>sellschaften. Zu diesem Instrumentarium der Umsetzung gemeindli</w:t>
      </w:r>
      <w:r w:rsidRPr="00292861">
        <w:softHyphen/>
        <w:t>cher Vorstellungen in diese Gesellschaften gehört neben der Auswahl ihrer Vertreter auch das diesen gegenüber vom Magistrat auszu</w:t>
      </w:r>
      <w:r w:rsidRPr="00292861">
        <w:softHyphen/>
        <w:t>übende Weisungsrecht gemäß § 125 Abs. 1 Satz 4 HGO. Das bedeu</w:t>
      </w:r>
      <w:r w:rsidRPr="00292861">
        <w:softHyphen/>
        <w:t>tet aber nicht, dass auch der Inhalt der zu erteilenden Weisungen durch diese besondere Kompetenzzuweisung in der alleinigen Zu</w:t>
      </w:r>
      <w:r w:rsidRPr="00292861">
        <w:softHyphen/>
        <w:t>ständigkeit des Magistrats stünde</w:t>
      </w:r>
      <w:r w:rsidRPr="00A4066F">
        <w:rPr>
          <w:b/>
        </w:rPr>
        <w:t>. Denn von dem in § 125 HGO ge</w:t>
      </w:r>
      <w:r w:rsidRPr="00A4066F">
        <w:rPr>
          <w:b/>
        </w:rPr>
        <w:softHyphen/>
        <w:t>regelten Außenvertretungsverhältnis zwischen Gemeinde und Ge</w:t>
      </w:r>
      <w:r w:rsidRPr="00A4066F">
        <w:rPr>
          <w:b/>
        </w:rPr>
        <w:softHyphen/>
        <w:t>sellschaften ist das Innenverhältnis zwischen Gemeindevorstand und Gemeindevertretung zu unterscheiden, in dem die Entscheidungsbe</w:t>
      </w:r>
      <w:r w:rsidRPr="00A4066F">
        <w:rPr>
          <w:b/>
        </w:rPr>
        <w:softHyphen/>
        <w:t>fugnisse über die in den Gesellschaften zu verfolgende Geschäftspo</w:t>
      </w:r>
      <w:r w:rsidRPr="00A4066F">
        <w:rPr>
          <w:b/>
        </w:rPr>
        <w:softHyphen/>
        <w:t>litik nach den allgemeinen Zuständigkeitsregelungen zu verteilen sind.</w:t>
      </w:r>
    </w:p>
    <w:p w:rsidR="00A4066F" w:rsidRPr="00A4066F" w:rsidRDefault="00A4066F" w:rsidP="00A4066F">
      <w:pPr>
        <w:numPr>
          <w:ilvl w:val="0"/>
          <w:numId w:val="1"/>
        </w:numPr>
      </w:pPr>
      <w:r w:rsidRPr="00292861">
        <w:lastRenderedPageBreak/>
        <w:t>Für den laufenden Geschäftsbetrieb ist der Gemeindevorstand ge</w:t>
      </w:r>
      <w:r w:rsidRPr="00292861">
        <w:softHyphen/>
        <w:t xml:space="preserve">mäß § 9 Abs. 2 HGO auch inhaltlich zuständig, </w:t>
      </w:r>
      <w:r w:rsidRPr="00A4066F">
        <w:rPr>
          <w:b/>
        </w:rPr>
        <w:t>während bei wichti</w:t>
      </w:r>
      <w:r w:rsidRPr="00A4066F">
        <w:rPr>
          <w:b/>
        </w:rPr>
        <w:softHyphen/>
        <w:t>gen Angelegenheiten gemäß § 9 Abs. 1 Satz 2 HGO eine vorrangige Entscheidung der Gemeindevertretung einzuholen und vom Gemein</w:t>
      </w:r>
      <w:r w:rsidRPr="00A4066F">
        <w:rPr>
          <w:b/>
        </w:rPr>
        <w:softHyphen/>
        <w:t>devorstand durch Weisung gemäß § 125 Abs. 1 Satz 4 HGO im Au</w:t>
      </w:r>
      <w:r w:rsidRPr="00A4066F">
        <w:rPr>
          <w:b/>
        </w:rPr>
        <w:softHyphen/>
        <w:t>ßenverhältnis zu den Gesellschaften umzusetzen ist</w:t>
      </w:r>
      <w:r w:rsidRPr="00292861">
        <w:t xml:space="preserve"> (vgl. Schmidt, HSGZ 2004 S. 50 [52]; Schmidt/Kneip, Hessische Gemeindeordnung, Kommentar, 2. Auflage 2008, </w:t>
      </w:r>
      <w:proofErr w:type="spellStart"/>
      <w:r w:rsidRPr="00292861">
        <w:t>Rn</w:t>
      </w:r>
      <w:proofErr w:type="spellEnd"/>
      <w:r w:rsidRPr="00292861">
        <w:t xml:space="preserve">. 1 zu § 125). </w:t>
      </w:r>
      <w:r w:rsidRPr="00A4066F">
        <w:rPr>
          <w:b/>
        </w:rPr>
        <w:t>Für diese Sichtweise spricht auch, dass gemäß § 66 Abs. 1 Satz 2 und Satz 3 Nr. 4 HGO der Gemeindevorstand die öffentlichen Einrichtungen und wirtschaft</w:t>
      </w:r>
      <w:r w:rsidRPr="00A4066F">
        <w:rPr>
          <w:b/>
        </w:rPr>
        <w:softHyphen/>
        <w:t>lichen Betriebe der Gemeinde nach den Beschlüssen der Gemeinde</w:t>
      </w:r>
      <w:r w:rsidRPr="00A4066F">
        <w:rPr>
          <w:b/>
        </w:rPr>
        <w:softHyphen/>
        <w:t>vertretung verwaltet.</w:t>
      </w:r>
      <w:r w:rsidRPr="00292861">
        <w:t xml:space="preserve"> </w:t>
      </w:r>
      <w:r w:rsidRPr="00A4066F">
        <w:rPr>
          <w:b/>
        </w:rPr>
        <w:t>Eine andere Auslegung des § 125 HGO, wonach dem Gemeindevorstand insoweit auch inhaltlich die alleinige Kompe</w:t>
      </w:r>
      <w:r w:rsidRPr="00A4066F">
        <w:rPr>
          <w:b/>
        </w:rPr>
        <w:softHyphen/>
        <w:t>tenz zustünde, würde die aus dem demokratischen Prinzip erwach</w:t>
      </w:r>
      <w:r w:rsidRPr="00A4066F">
        <w:rPr>
          <w:b/>
        </w:rPr>
        <w:softHyphen/>
        <w:t xml:space="preserve">sende Entscheidungsprärogative der von den Bürgern unmittelbar gewählten </w:t>
      </w:r>
      <w:r w:rsidRPr="00A4066F">
        <w:t>Gemeindevertretung für wichtige gemeindliche Angele</w:t>
      </w:r>
      <w:r w:rsidRPr="00A4066F">
        <w:softHyphen/>
        <w:t>genheiten gerade in dem bedeutenden gemeindewirtschaftlichen Be</w:t>
      </w:r>
      <w:r w:rsidRPr="00A4066F">
        <w:softHyphen/>
        <w:t>reich der Betätigung in Eigen- und Beteiligungsgesellschaften ohne sachlichen Grund außer Kraft setzen.</w:t>
      </w:r>
    </w:p>
    <w:p w:rsidR="00A4066F" w:rsidRDefault="00A4066F" w:rsidP="00A4066F">
      <w:r w:rsidRPr="00292861">
        <w:t xml:space="preserve">VGH Kassel, Beschluss vom 24.09.2008 - 8 B 2037/08 </w:t>
      </w:r>
      <w:r w:rsidR="00461897">
        <w:t>–</w:t>
      </w:r>
    </w:p>
    <w:p w:rsidR="00461897" w:rsidRPr="00461897" w:rsidRDefault="00461897" w:rsidP="00A4066F">
      <w:pPr>
        <w:rPr>
          <w:b/>
        </w:rPr>
      </w:pPr>
      <w:r w:rsidRPr="00217A6B">
        <w:t>Quelle:</w:t>
      </w:r>
      <w:r w:rsidRPr="00461897">
        <w:rPr>
          <w:b/>
        </w:rPr>
        <w:t xml:space="preserve"> </w:t>
      </w:r>
      <w:hyperlink r:id="rId5" w:history="1">
        <w:r w:rsidR="00217A6B" w:rsidRPr="008F4465">
          <w:rPr>
            <w:rStyle w:val="Hyperlink"/>
            <w:b/>
          </w:rPr>
          <w:t>www.foerstemann.de</w:t>
        </w:r>
      </w:hyperlink>
      <w:r w:rsidR="00217A6B">
        <w:rPr>
          <w:b/>
        </w:rPr>
        <w:t xml:space="preserve"> </w:t>
      </w:r>
      <w:r w:rsidR="00217A6B" w:rsidRPr="00217A6B">
        <w:t>(Im Original ohne Fettdruck)</w:t>
      </w:r>
    </w:p>
    <w:p w:rsidR="00A233A3" w:rsidRDefault="00A233A3">
      <w:bookmarkStart w:id="0" w:name="_GoBack"/>
      <w:bookmarkEnd w:id="0"/>
    </w:p>
    <w:sectPr w:rsidR="00A23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860CC"/>
    <w:multiLevelType w:val="multilevel"/>
    <w:tmpl w:val="9AFE91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6F"/>
    <w:rsid w:val="00217A6B"/>
    <w:rsid w:val="00461897"/>
    <w:rsid w:val="00A233A3"/>
    <w:rsid w:val="00A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1688D-00A8-4470-B0C7-8E9DDC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7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ersteman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Hinrichsen</dc:creator>
  <cp:keywords/>
  <dc:description/>
  <cp:lastModifiedBy>Jens Hinrichsen</cp:lastModifiedBy>
  <cp:revision>3</cp:revision>
  <dcterms:created xsi:type="dcterms:W3CDTF">2015-10-13T23:04:00Z</dcterms:created>
  <dcterms:modified xsi:type="dcterms:W3CDTF">2015-10-13T23:59:00Z</dcterms:modified>
</cp:coreProperties>
</file>